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Cukrzyca - epidemią XXI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Światowa Organizacja Zdrowia ( WHO) wskazuje cukrzycę jako jedno z najpoważniejszych zagrożeń XXI wieku. Jest to pierwsza i jak dotąd jedyna choroba niezakaźna, która została uznana przez Organizacje Narodów Zjednoczonych za epidemię naszego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Śmiertelność osób borykających się z cukrzycą jest z roku na rok większa. Pacjenci, u których zdiagnozowano chorobę żyją zdecydowanie krócej. Według WHO w 2030 roku pod względem ilości zgonów cukrzyca będzie plasowała się na 7 miejscu. W Polsce odsetek chorych w dorosłej populacji wynosi trzy miliony zdiagnozowanych pacjentów i jest wyższy niż europejska średnia. To dane ekspertów przedstawione podczas konferencji w Narodowym Instytucie Zdrowia Publicznego (PZH) w ubiegłym roku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Stanem poprzedzającym cukrzycę jest etap przedcukrzycowy. W Polsce lekarze zakwalifikowali do niego ponad 5 milionów pacjentów w wieku 20-79 lat - to aż 18% populacji. Każdego roku u 2 do 10 % osób z tej grupy rozwija się cukrzyca typu 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populacji powyżej 65 roku życia cukrzyca dotyka 25 - 30 % pacjentów i co ciekawe objawy hiperglikemii u chorych w tej grupie mogą mieć mniejsze nasilenie niż u młodszych osób, co może powodować opóźnienie rozpoznania choroby. Czas życia osób chorujących na cukrzyce jest o 7 lat krótszy w stosunku osób bez cukrzycy. Pacjenci z cukrzycą typu 1 żyją 15 - 20 lat krócej – mówi Jadwiga Peczyńska, diabetolog z Humana Medica Omeda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możemy zapobiec i opóźnić rozwój cukrzycy?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Obecnie nie istnieje żadna skuteczna i wprowadzona do praktyki klinicznej metoda zapobiegania cukrzycy typu 1 zarówno w populacji ogólnej, jak i u osób z grup ryzyka – dodaje specjalistka z Omedy.Inaczej jest w przypadku rozpoznania cukrzycy typu 2 . Jest to choroba, której można zapobiegać lub opóźniać jej wystąpienie poprzez zdrowy styl życia. Trzeba pamiętać, że najważniejszymi czynnikami ryzyka cukrzycy typu 2 są: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wiek,</w:t>
      </w:r>
    </w:p>
    <w:p>
      <w:r>
        <w:rPr>
          <w:rFonts w:ascii="calibri" w:hAnsi="calibri" w:eastAsia="calibri" w:cs="calibri"/>
          <w:sz w:val="24"/>
          <w:szCs w:val="24"/>
        </w:rPr>
        <w:t xml:space="preserve">• nadwaga,</w:t>
      </w:r>
    </w:p>
    <w:p>
      <w:r>
        <w:rPr>
          <w:rFonts w:ascii="calibri" w:hAnsi="calibri" w:eastAsia="calibri" w:cs="calibri"/>
          <w:sz w:val="24"/>
          <w:szCs w:val="24"/>
        </w:rPr>
        <w:t xml:space="preserve">• otyłość,</w:t>
      </w:r>
    </w:p>
    <w:p>
      <w:r>
        <w:rPr>
          <w:rFonts w:ascii="calibri" w:hAnsi="calibri" w:eastAsia="calibri" w:cs="calibri"/>
          <w:sz w:val="24"/>
          <w:szCs w:val="24"/>
        </w:rPr>
        <w:t xml:space="preserve">• brak aktywności fizycznej.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prewencji cukrzycy należy dążyć do zmniejszenia masy ciała (korzyści odnosimy już przy umiarkowanej redukcji od 5 do 7% aktualnej masy ciała). Podobnie jest z wysiłkiem fizycznym. Udowodniono, że umiarkowana aktywność, ale regularna (5 razy w tygodniu) wiąże się z obniżeniem ryzyka zachorowania na cukrzycę typu 2. Ważne jest również wykonywanie badań przesiewowych w kierunku cukrzycy (pomiar w laboratorium cukru na czczo lub 2 godz. po obciążeniu 75g glukozy) u osób, które są w grupie zwiększonego ryzyka. Badanie należy przeprowadzić raz w ciągu 3 lat u każdej osoby powyżej 45. roku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Ponadto, niezależnie od wieku, badanie to należy wykonać co roku u następujących osób: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z nadwagą lub otyłością,</w:t>
      </w:r>
    </w:p>
    <w:p>
      <w:r>
        <w:rPr>
          <w:rFonts w:ascii="calibri" w:hAnsi="calibri" w:eastAsia="calibri" w:cs="calibri"/>
          <w:sz w:val="24"/>
          <w:szCs w:val="24"/>
        </w:rPr>
        <w:t xml:space="preserve">• z cukrzycą występującą w rodzinie (rodzice lub rodzeństwo),</w:t>
      </w:r>
    </w:p>
    <w:p>
      <w:r>
        <w:rPr>
          <w:rFonts w:ascii="calibri" w:hAnsi="calibri" w:eastAsia="calibri" w:cs="calibri"/>
          <w:sz w:val="24"/>
          <w:szCs w:val="24"/>
        </w:rPr>
        <w:t xml:space="preserve">• mało aktywnych fizycznie,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osób, u których poprzednio stwierdzono stan przedcukrzycowy, czyli stężenie glukozy na czczo od 100 do 125 mg% (5,6–6,9 mmol/l) lub nieprawidłowy wynik testu obciążenia 75 g glukozy: stężenie glukozy od 140 do 199 mg% (7,8–11,1mmol/l,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kobiet z przebytą cukrzycą ciążową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kobiet, które urodziły dziecko o masie ciała &gt;4kg,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osób z nadciśnieniem tętniczym,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osób, które przeszły zawał serca lub udar mózgu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także pamiętać, że typowe objawy tej choroby, takie jak: wzmożone pragnienie, oddawanie dużych ilości moczu, w tym także w nocy, osłabienie i wzmożona senność - mogą się nie pojawiać, zwłaszcza gdy stężenie glukozy nie jest zbyt duże.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2024-05-06T05:54:22+02:00</dcterms:created>
  <dcterms:modified xsi:type="dcterms:W3CDTF">2024-05-06T05:54:22+02:00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